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2A" w:rsidRPr="00A3612A" w:rsidRDefault="00C07D9C" w:rsidP="00A361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Kinesiology-Health and Physical </w:t>
      </w:r>
      <w:r w:rsidR="00A3612A" w:rsidRPr="00A3612A">
        <w:rPr>
          <w:rFonts w:ascii="Arial Narrow" w:hAnsi="Arial Narrow"/>
        </w:rPr>
        <w:t>Education Program</w:t>
      </w:r>
    </w:p>
    <w:p w:rsidR="00A3612A" w:rsidRPr="00A5650B" w:rsidRDefault="00A3612A" w:rsidP="00A3612A">
      <w:pPr>
        <w:jc w:val="center"/>
        <w:rPr>
          <w:rFonts w:ascii="Arial Narrow" w:hAnsi="Arial Narrow"/>
          <w:bCs/>
          <w:sz w:val="22"/>
          <w:szCs w:val="22"/>
        </w:rPr>
      </w:pPr>
      <w:r w:rsidRPr="00A5650B">
        <w:rPr>
          <w:rFonts w:ascii="Arial Narrow" w:hAnsi="Arial Narrow"/>
          <w:bCs/>
          <w:sz w:val="22"/>
          <w:szCs w:val="22"/>
        </w:rPr>
        <w:t>SAC Program SLO Assessment Form:</w:t>
      </w:r>
    </w:p>
    <w:p w:rsidR="00275517" w:rsidRDefault="00275517" w:rsidP="00275517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Health and Movement Based Courses (KNHE, KNAC, KNFI, KNAD, KNAF, KNAQ)</w:t>
      </w:r>
    </w:p>
    <w:p w:rsidR="00275517" w:rsidRDefault="00275517" w:rsidP="00A3612A">
      <w:pPr>
        <w:rPr>
          <w:rFonts w:ascii="Arial Narrow" w:hAnsi="Arial Narrow"/>
        </w:rPr>
      </w:pPr>
    </w:p>
    <w:p w:rsidR="000C18DD" w:rsidRPr="008955DA" w:rsidRDefault="000C18DD" w:rsidP="000C18DD">
      <w:pPr>
        <w:rPr>
          <w:rFonts w:ascii="Arial Narrow" w:hAnsi="Arial Narrow"/>
        </w:rPr>
      </w:pPr>
      <w:r w:rsidRPr="008955DA">
        <w:rPr>
          <w:rFonts w:ascii="Arial Narrow" w:hAnsi="Arial Narrow"/>
        </w:rPr>
        <w:t xml:space="preserve">The Mission of the </w:t>
      </w:r>
      <w:r>
        <w:rPr>
          <w:rFonts w:ascii="Arial Narrow" w:hAnsi="Arial Narrow"/>
          <w:highlight w:val="yellow"/>
        </w:rPr>
        <w:t>Kinesiology-Health &amp; Physical Education</w:t>
      </w:r>
      <w:r>
        <w:rPr>
          <w:rFonts w:ascii="Arial Narrow" w:hAnsi="Arial Narrow"/>
        </w:rPr>
        <w:t xml:space="preserve"> (KNPE) </w:t>
      </w:r>
      <w:r w:rsidRPr="008955DA">
        <w:rPr>
          <w:rFonts w:ascii="Arial Narrow" w:hAnsi="Arial Narrow"/>
        </w:rPr>
        <w:t>program is to prepare Kinesiology majors for ac</w:t>
      </w:r>
      <w:r>
        <w:rPr>
          <w:rFonts w:ascii="Arial Narrow" w:hAnsi="Arial Narrow"/>
        </w:rPr>
        <w:t>ademic pursuits and careers in H</w:t>
      </w:r>
      <w:r w:rsidRPr="008955DA">
        <w:rPr>
          <w:rFonts w:ascii="Arial Narrow" w:hAnsi="Arial Narrow"/>
        </w:rPr>
        <w:t>ealth</w:t>
      </w:r>
      <w:r>
        <w:rPr>
          <w:rFonts w:ascii="Arial Narrow" w:hAnsi="Arial Narrow"/>
        </w:rPr>
        <w:t xml:space="preserve">, Fitness, and Sport </w:t>
      </w:r>
      <w:r w:rsidRPr="008955DA">
        <w:rPr>
          <w:rFonts w:ascii="Arial Narrow" w:hAnsi="Arial Narrow"/>
        </w:rPr>
        <w:t>related industries</w:t>
      </w:r>
      <w:r>
        <w:rPr>
          <w:rFonts w:ascii="Arial Narrow" w:hAnsi="Arial Narrow"/>
        </w:rPr>
        <w:t xml:space="preserve">.  We </w:t>
      </w:r>
      <w:r w:rsidRPr="008955DA">
        <w:rPr>
          <w:rFonts w:ascii="Arial Narrow" w:hAnsi="Arial Narrow"/>
        </w:rPr>
        <w:t>empower all student</w:t>
      </w:r>
      <w:r>
        <w:rPr>
          <w:rFonts w:ascii="Arial Narrow" w:hAnsi="Arial Narrow"/>
        </w:rPr>
        <w:t xml:space="preserve">s with the knowledge </w:t>
      </w:r>
      <w:r w:rsidRPr="008955DA">
        <w:rPr>
          <w:rFonts w:ascii="Arial Narrow" w:hAnsi="Arial Narrow"/>
        </w:rPr>
        <w:t xml:space="preserve">to discriminate between healthy and </w:t>
      </w:r>
      <w:r>
        <w:rPr>
          <w:rFonts w:ascii="Arial Narrow" w:hAnsi="Arial Narrow"/>
        </w:rPr>
        <w:t>unhealthy</w:t>
      </w:r>
      <w:r w:rsidRPr="008955DA">
        <w:rPr>
          <w:rFonts w:ascii="Arial Narrow" w:hAnsi="Arial Narrow"/>
        </w:rPr>
        <w:t xml:space="preserve"> lifestyle choices </w:t>
      </w:r>
      <w:r>
        <w:rPr>
          <w:rFonts w:ascii="Arial Narrow" w:hAnsi="Arial Narrow"/>
        </w:rPr>
        <w:t xml:space="preserve">as well as </w:t>
      </w:r>
      <w:r w:rsidRPr="008955DA">
        <w:rPr>
          <w:rFonts w:ascii="Arial Narrow" w:hAnsi="Arial Narrow"/>
        </w:rPr>
        <w:t>competence in many and proficiency in a few movement-based skills</w:t>
      </w:r>
      <w:r>
        <w:rPr>
          <w:rFonts w:ascii="Arial Narrow" w:hAnsi="Arial Narrow"/>
        </w:rPr>
        <w:t>.</w:t>
      </w:r>
      <w:r w:rsidRPr="001A0E8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We encourage </w:t>
      </w:r>
      <w:r w:rsidRPr="008955DA">
        <w:rPr>
          <w:rFonts w:ascii="Arial Narrow" w:hAnsi="Arial Narrow"/>
        </w:rPr>
        <w:t>students to explore the personal challenge, self-expression, and social interaction benefits associated with regular physical activity.</w:t>
      </w:r>
    </w:p>
    <w:p w:rsidR="00A3612A" w:rsidRPr="00A3612A" w:rsidRDefault="00A3612A" w:rsidP="00A3612A">
      <w:pPr>
        <w:rPr>
          <w:rFonts w:ascii="Arial Narrow" w:hAnsi="Arial Narrow"/>
        </w:rPr>
      </w:pPr>
    </w:p>
    <w:p w:rsidR="009F0B2F" w:rsidRPr="00A3612A" w:rsidRDefault="009F0B2F" w:rsidP="009F0B2F">
      <w:pPr>
        <w:rPr>
          <w:rFonts w:ascii="Arial Narrow" w:hAnsi="Arial Narrow"/>
        </w:rPr>
      </w:pPr>
      <w:r w:rsidRPr="00A3612A">
        <w:rPr>
          <w:rFonts w:ascii="Arial Narrow" w:hAnsi="Arial Narrow"/>
        </w:rPr>
        <w:t>Area Goals:</w:t>
      </w:r>
    </w:p>
    <w:p w:rsidR="009F0B2F" w:rsidRDefault="009F0B2F" w:rsidP="009F0B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3612A">
        <w:rPr>
          <w:rFonts w:ascii="Arial Narrow" w:hAnsi="Arial Narrow"/>
        </w:rPr>
        <w:t>Prepare Kinesiology students for leadership opportunities in the Health, Fitness, and Sport industries.</w:t>
      </w:r>
    </w:p>
    <w:p w:rsidR="009F0B2F" w:rsidRPr="00A3612A" w:rsidRDefault="009F0B2F" w:rsidP="009F0B2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Assess &amp; develop strategies to increase the number of degrees awarded.</w:t>
      </w:r>
    </w:p>
    <w:p w:rsidR="009F0B2F" w:rsidRPr="00A3612A" w:rsidRDefault="009F0B2F" w:rsidP="009F0B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3612A">
        <w:rPr>
          <w:rFonts w:ascii="Arial Narrow" w:hAnsi="Arial Narrow"/>
        </w:rPr>
        <w:t>Prepare General Education students for lifelong physical activity as a base or foundation from which all other areas of their lives are improved; spiritually, socially, intellectually, physically and emotionally.</w:t>
      </w:r>
    </w:p>
    <w:p w:rsidR="009F0B2F" w:rsidRDefault="009F0B2F" w:rsidP="009F0B2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Increase the number of SAC graduates demonstrated competency in &gt; 3 areas and proficiency in at least 1 area.</w:t>
      </w:r>
    </w:p>
    <w:p w:rsidR="009F0B2F" w:rsidRPr="00A3612A" w:rsidRDefault="009F0B2F" w:rsidP="009F0B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3612A">
        <w:rPr>
          <w:rFonts w:ascii="Arial Narrow" w:hAnsi="Arial Narrow"/>
        </w:rPr>
        <w:t>Enhance the health and wellness of our campus and surrounding community by promoting healthy lifestyle principles along with safe &amp; effective exercise.</w:t>
      </w:r>
    </w:p>
    <w:p w:rsidR="009F0B2F" w:rsidRPr="00A3612A" w:rsidRDefault="009F0B2F" w:rsidP="009F0B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3612A">
        <w:rPr>
          <w:rFonts w:ascii="Arial Narrow" w:hAnsi="Arial Narrow"/>
        </w:rPr>
        <w:t>Increase the diversity of our full-time faculty based upon the diverse interests and needs of our students.</w:t>
      </w:r>
    </w:p>
    <w:p w:rsidR="009F0B2F" w:rsidRPr="00A3612A" w:rsidRDefault="009F0B2F" w:rsidP="009F0B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3612A">
        <w:rPr>
          <w:rFonts w:ascii="Arial Narrow" w:hAnsi="Arial Narrow"/>
        </w:rPr>
        <w:t>Continually update curriculum to meet the interests and needs of our students and evolving discipline.</w:t>
      </w:r>
    </w:p>
    <w:p w:rsidR="009F0B2F" w:rsidRDefault="009F0B2F" w:rsidP="009F0B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3612A">
        <w:rPr>
          <w:rFonts w:ascii="Arial Narrow" w:hAnsi="Arial Narrow"/>
        </w:rPr>
        <w:t>Seek and develop new technologies associated with the interests and needs of our students and evolving discipline.</w:t>
      </w:r>
    </w:p>
    <w:p w:rsidR="009F0B2F" w:rsidRDefault="009F0B2F" w:rsidP="009F0B2F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A3612A">
      <w:pPr>
        <w:ind w:left="360"/>
        <w:rPr>
          <w:rFonts w:ascii="Arial Narrow" w:hAnsi="Arial Narrow"/>
        </w:rPr>
      </w:pPr>
    </w:p>
    <w:p w:rsidR="00A3612A" w:rsidRDefault="00A3612A" w:rsidP="009F0B2F">
      <w:pPr>
        <w:rPr>
          <w:rFonts w:ascii="Arial Narrow" w:hAnsi="Arial Narrow"/>
        </w:rPr>
      </w:pPr>
    </w:p>
    <w:p w:rsidR="00A3612A" w:rsidRPr="00A3612A" w:rsidRDefault="00A3612A" w:rsidP="00A3612A">
      <w:pPr>
        <w:ind w:left="360"/>
        <w:rPr>
          <w:rFonts w:ascii="Arial Narrow" w:hAnsi="Arial Narrow"/>
        </w:rPr>
      </w:pPr>
    </w:p>
    <w:p w:rsidR="000D2396" w:rsidRDefault="000D2396"/>
    <w:p w:rsidR="009F0B2F" w:rsidRDefault="009F0B2F"/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763"/>
        <w:gridCol w:w="2174"/>
        <w:gridCol w:w="1440"/>
        <w:gridCol w:w="1677"/>
        <w:gridCol w:w="1824"/>
        <w:gridCol w:w="1704"/>
        <w:gridCol w:w="1764"/>
        <w:gridCol w:w="1828"/>
      </w:tblGrid>
      <w:tr w:rsidR="00A3612A" w:rsidRPr="007E3F1E" w:rsidTr="009F7075">
        <w:trPr>
          <w:trHeight w:val="432"/>
          <w:jc w:val="center"/>
        </w:trPr>
        <w:tc>
          <w:tcPr>
            <w:tcW w:w="8878" w:type="dxa"/>
            <w:gridSpan w:val="5"/>
          </w:tcPr>
          <w:p w:rsidR="00A3612A" w:rsidRPr="007E3F1E" w:rsidRDefault="00A3612A" w:rsidP="009F7075">
            <w:pPr>
              <w:ind w:right="6"/>
              <w:rPr>
                <w:rFonts w:ascii="Arial Narrow" w:hAnsi="Arial Narrow"/>
              </w:rPr>
            </w:pPr>
            <w:r w:rsidRPr="007E3F1E">
              <w:rPr>
                <w:rFonts w:ascii="Arial Narrow" w:hAnsi="Arial Narrow"/>
              </w:rPr>
              <w:t xml:space="preserve">Semester/Year:  Spring 2013 (Self reflection, Collegial dialogue, Review, &amp; Revision) 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</w:tcPr>
          <w:p w:rsidR="00A3612A" w:rsidRPr="007E3F1E" w:rsidRDefault="00A3612A" w:rsidP="009F7075">
            <w:pPr>
              <w:ind w:right="6"/>
              <w:rPr>
                <w:rFonts w:ascii="Arial Narrow" w:hAnsi="Arial Narrow"/>
              </w:rPr>
            </w:pPr>
            <w:r w:rsidRPr="007E3F1E">
              <w:rPr>
                <w:rFonts w:ascii="Arial Narrow" w:hAnsi="Arial Narrow"/>
              </w:rPr>
              <w:t xml:space="preserve">Semester/Year:  </w:t>
            </w:r>
          </w:p>
        </w:tc>
      </w:tr>
      <w:tr w:rsidR="00A3612A" w:rsidRPr="007E3F1E" w:rsidTr="00697879">
        <w:trPr>
          <w:trHeight w:val="836"/>
          <w:jc w:val="center"/>
        </w:trPr>
        <w:tc>
          <w:tcPr>
            <w:tcW w:w="1763" w:type="dxa"/>
          </w:tcPr>
          <w:p w:rsidR="00A3612A" w:rsidRPr="00697879" w:rsidRDefault="00A3612A" w:rsidP="009F7075">
            <w:pPr>
              <w:jc w:val="center"/>
              <w:rPr>
                <w:rFonts w:ascii="Arial Narrow" w:hAnsi="Arial Narrow"/>
                <w:b/>
              </w:rPr>
            </w:pPr>
          </w:p>
          <w:p w:rsidR="00A3612A" w:rsidRPr="00697879" w:rsidRDefault="00A3612A" w:rsidP="009F7075">
            <w:pPr>
              <w:jc w:val="center"/>
              <w:rPr>
                <w:rFonts w:ascii="Arial Narrow" w:hAnsi="Arial Narrow"/>
                <w:b/>
              </w:rPr>
            </w:pPr>
            <w:r w:rsidRPr="00697879">
              <w:rPr>
                <w:rFonts w:ascii="Arial Narrow" w:hAnsi="Arial Narrow"/>
                <w:b/>
                <w:sz w:val="22"/>
                <w:szCs w:val="22"/>
              </w:rPr>
              <w:t>Institutional SLO</w:t>
            </w:r>
          </w:p>
          <w:p w:rsidR="00A3612A" w:rsidRPr="00697879" w:rsidRDefault="00A3612A" w:rsidP="009F707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74" w:type="dxa"/>
          </w:tcPr>
          <w:p w:rsidR="00A3612A" w:rsidRPr="00697879" w:rsidRDefault="00A3612A" w:rsidP="009F7075">
            <w:pPr>
              <w:ind w:right="-29"/>
              <w:jc w:val="center"/>
              <w:rPr>
                <w:rFonts w:ascii="Arial Narrow" w:hAnsi="Arial Narrow"/>
                <w:b/>
              </w:rPr>
            </w:pPr>
          </w:p>
          <w:p w:rsidR="00A3612A" w:rsidRPr="00697879" w:rsidRDefault="00A3612A" w:rsidP="009F7075">
            <w:pPr>
              <w:ind w:right="-29"/>
              <w:jc w:val="center"/>
              <w:rPr>
                <w:rFonts w:ascii="Arial Narrow" w:hAnsi="Arial Narrow"/>
                <w:b/>
              </w:rPr>
            </w:pPr>
            <w:r w:rsidRPr="00697879">
              <w:rPr>
                <w:rFonts w:ascii="Arial Narrow" w:hAnsi="Arial Narrow"/>
                <w:b/>
                <w:sz w:val="22"/>
                <w:szCs w:val="22"/>
              </w:rPr>
              <w:t>Program SLO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</w:p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  <w:r w:rsidRPr="00697879">
              <w:rPr>
                <w:rFonts w:ascii="Arial Narrow" w:hAnsi="Arial Narrow"/>
                <w:b/>
                <w:sz w:val="22"/>
                <w:szCs w:val="22"/>
              </w:rPr>
              <w:t>Method of Assessment</w:t>
            </w:r>
          </w:p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</w:p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  <w:r w:rsidRPr="00697879">
              <w:rPr>
                <w:rFonts w:ascii="Arial Narrow" w:hAnsi="Arial Narrow"/>
                <w:b/>
                <w:sz w:val="22"/>
                <w:szCs w:val="22"/>
              </w:rPr>
              <w:t>Outcomes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</w:p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  <w:r w:rsidRPr="00697879">
              <w:rPr>
                <w:rFonts w:ascii="Arial Narrow" w:hAnsi="Arial Narrow"/>
                <w:b/>
                <w:sz w:val="22"/>
                <w:szCs w:val="22"/>
              </w:rPr>
              <w:t>Plan for Implementation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</w:p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  <w:r w:rsidRPr="00697879">
              <w:rPr>
                <w:rFonts w:ascii="Arial Narrow" w:hAnsi="Arial Narrow"/>
                <w:b/>
                <w:sz w:val="22"/>
                <w:szCs w:val="22"/>
              </w:rPr>
              <w:t>Reassessment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</w:p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  <w:r w:rsidRPr="00697879">
              <w:rPr>
                <w:rFonts w:ascii="Arial Narrow" w:hAnsi="Arial Narrow"/>
                <w:b/>
                <w:sz w:val="22"/>
                <w:szCs w:val="22"/>
              </w:rPr>
              <w:t>Outcome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</w:p>
          <w:p w:rsidR="00A3612A" w:rsidRPr="00697879" w:rsidRDefault="00A3612A" w:rsidP="009F7075">
            <w:pPr>
              <w:ind w:right="6"/>
              <w:jc w:val="center"/>
              <w:rPr>
                <w:rFonts w:ascii="Arial Narrow" w:hAnsi="Arial Narrow"/>
                <w:b/>
              </w:rPr>
            </w:pPr>
            <w:r w:rsidRPr="00697879">
              <w:rPr>
                <w:rFonts w:ascii="Arial Narrow" w:hAnsi="Arial Narrow"/>
                <w:b/>
                <w:sz w:val="22"/>
                <w:szCs w:val="22"/>
              </w:rPr>
              <w:t>Plan for Implementation</w:t>
            </w:r>
          </w:p>
        </w:tc>
      </w:tr>
      <w:tr w:rsidR="00A3612A" w:rsidRPr="007E3F1E" w:rsidTr="00697879">
        <w:trPr>
          <w:trHeight w:val="3649"/>
          <w:jc w:val="center"/>
        </w:trPr>
        <w:tc>
          <w:tcPr>
            <w:tcW w:w="1763" w:type="dxa"/>
          </w:tcPr>
          <w:p w:rsidR="00A3612A" w:rsidRDefault="00543EA3" w:rsidP="009F70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2a-Critical Thinking, 2b-Ethical Reasoning, </w:t>
            </w:r>
            <w:r w:rsidR="00951A23">
              <w:rPr>
                <w:rFonts w:ascii="Arial Narrow" w:hAnsi="Arial Narrow" w:cs="Arial"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sz w:val="16"/>
                <w:szCs w:val="16"/>
              </w:rPr>
              <w:t>b-Social Diversity, 5a-Personal Responsibility, 6</w:t>
            </w:r>
            <w:r w:rsidR="00951A23">
              <w:rPr>
                <w:rFonts w:ascii="Arial Narrow" w:hAnsi="Arial Narrow" w:cs="Arial"/>
                <w:sz w:val="16"/>
                <w:szCs w:val="16"/>
              </w:rPr>
              <w:t>c-Personal Growth</w:t>
            </w:r>
          </w:p>
          <w:p w:rsidR="00A3612A" w:rsidRDefault="00A3612A" w:rsidP="009F707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51A23" w:rsidRDefault="00951A23" w:rsidP="00543EA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51A23" w:rsidRDefault="00951A23" w:rsidP="00543EA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51A23" w:rsidRDefault="00951A23" w:rsidP="00543EA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51A23" w:rsidRDefault="00951A23" w:rsidP="00543EA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43EA3" w:rsidRDefault="00543EA3" w:rsidP="00543EA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2a-Critical Thinking, </w:t>
            </w:r>
            <w:r w:rsidR="00951A23">
              <w:rPr>
                <w:rFonts w:ascii="Arial Narrow" w:hAnsi="Arial Narrow" w:cs="Arial"/>
                <w:sz w:val="16"/>
                <w:szCs w:val="16"/>
              </w:rPr>
              <w:t>2d-Quantitative Reasoning, 4</w:t>
            </w:r>
            <w:r>
              <w:rPr>
                <w:rFonts w:ascii="Arial Narrow" w:hAnsi="Arial Narrow" w:cs="Arial"/>
                <w:sz w:val="16"/>
                <w:szCs w:val="16"/>
              </w:rPr>
              <w:t>b-Social Diversity, 5a-Personal Responsibility, 6a-Creative Expression, 6c-Personal Growth, 6d-Interpersonal Skills.</w:t>
            </w:r>
          </w:p>
          <w:p w:rsidR="00A3612A" w:rsidRDefault="00A3612A" w:rsidP="009F707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3612A" w:rsidRDefault="00543EA3" w:rsidP="009F707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2a-Critical Thinking, 2b-Ethical Reasoning, </w:t>
            </w:r>
            <w:r w:rsidR="00951A23">
              <w:rPr>
                <w:rFonts w:ascii="Arial Narrow" w:hAnsi="Arial Narrow" w:cs="Arial"/>
                <w:sz w:val="16"/>
                <w:szCs w:val="16"/>
              </w:rPr>
              <w:t>2d-Quantitative Reasoning, 4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b-Social Diversity, 5a-Personal Responsibility, 6c-Personal </w:t>
            </w:r>
            <w:r w:rsidR="00951A23">
              <w:rPr>
                <w:rFonts w:ascii="Arial Narrow" w:hAnsi="Arial Narrow" w:cs="Arial"/>
                <w:sz w:val="16"/>
                <w:szCs w:val="16"/>
              </w:rPr>
              <w:t>Growth</w:t>
            </w:r>
          </w:p>
          <w:p w:rsidR="00A3612A" w:rsidRDefault="00A3612A" w:rsidP="009F707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3612A" w:rsidRDefault="00A3612A" w:rsidP="009F707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A3612A" w:rsidRPr="007E3F1E" w:rsidRDefault="00A3612A" w:rsidP="009F707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4" w:type="dxa"/>
          </w:tcPr>
          <w:p w:rsidR="00A3612A" w:rsidRDefault="00A3612A" w:rsidP="009F7075">
            <w:pPr>
              <w:ind w:right="-2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 student will be able to d</w:t>
            </w:r>
            <w:r w:rsidRPr="007E3F1E">
              <w:rPr>
                <w:rFonts w:ascii="Arial Narrow" w:hAnsi="Arial Narrow" w:cs="Arial"/>
                <w:sz w:val="22"/>
                <w:szCs w:val="22"/>
              </w:rPr>
              <w:t>escribe the role of Kinesiology-Physical Education in health promotion and disease prevention.</w:t>
            </w:r>
          </w:p>
          <w:p w:rsidR="00A3612A" w:rsidRDefault="00A3612A" w:rsidP="009F7075">
            <w:pPr>
              <w:ind w:right="-29"/>
              <w:rPr>
                <w:rFonts w:ascii="Arial Narrow" w:hAnsi="Arial Narrow" w:cs="Arial"/>
              </w:rPr>
            </w:pPr>
          </w:p>
          <w:p w:rsidR="00A3612A" w:rsidRDefault="00A3612A" w:rsidP="009F7075">
            <w:pPr>
              <w:ind w:right="-2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 student will be able to demonstrate</w:t>
            </w:r>
            <w:r w:rsidR="009F0B2F">
              <w:rPr>
                <w:rFonts w:ascii="Arial Narrow" w:hAnsi="Arial Narrow" w:cs="Arial"/>
                <w:sz w:val="22"/>
                <w:szCs w:val="22"/>
              </w:rPr>
              <w:t xml:space="preserve"> proficiency in 1 and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competence in </w:t>
            </w:r>
            <w:r w:rsidR="009F0B2F">
              <w:rPr>
                <w:rFonts w:ascii="Arial Narrow" w:hAnsi="Arial Narrow" w:cs="Arial"/>
                <w:sz w:val="22"/>
                <w:szCs w:val="22"/>
              </w:rPr>
              <w:t>at least 2 physical activities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A3612A" w:rsidRPr="00485177" w:rsidRDefault="00A3612A" w:rsidP="009F7075">
            <w:pPr>
              <w:ind w:right="-29"/>
              <w:rPr>
                <w:rFonts w:ascii="Arial Narrow" w:hAnsi="Arial Narrow" w:cs="Arial"/>
              </w:rPr>
            </w:pPr>
          </w:p>
          <w:p w:rsidR="00A3612A" w:rsidRPr="007E3F1E" w:rsidRDefault="00A3612A" w:rsidP="009F7075">
            <w:pPr>
              <w:ind w:right="-2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Students will be able e</w:t>
            </w:r>
            <w:r w:rsidRPr="00485177">
              <w:rPr>
                <w:rFonts w:ascii="Arial Narrow" w:hAnsi="Arial Narrow" w:cs="Arial"/>
                <w:sz w:val="22"/>
                <w:szCs w:val="22"/>
              </w:rPr>
              <w:t>xamine personal health-related behavioral patterns, select goals, and formulate appropriate behavioral strategies.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3612A" w:rsidRPr="007E3F1E" w:rsidRDefault="00A3612A" w:rsidP="009F7075">
            <w:pPr>
              <w:ind w:right="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3612A" w:rsidRPr="007E3F1E" w:rsidRDefault="00A3612A" w:rsidP="009F7075">
            <w:pPr>
              <w:ind w:right="6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A3612A" w:rsidRPr="007E3F1E" w:rsidRDefault="00A3612A" w:rsidP="009F7075">
            <w:pPr>
              <w:ind w:right="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3612A" w:rsidRPr="007E3F1E" w:rsidRDefault="00A3612A" w:rsidP="009F7075">
            <w:pPr>
              <w:ind w:right="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A3612A" w:rsidRPr="007E3F1E" w:rsidRDefault="00A3612A" w:rsidP="009F7075">
            <w:pPr>
              <w:ind w:right="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A3612A" w:rsidRPr="007E3F1E" w:rsidRDefault="00A3612A" w:rsidP="009F7075">
            <w:pPr>
              <w:ind w:right="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3612A" w:rsidRDefault="00A3612A"/>
    <w:p w:rsidR="009F0B2F" w:rsidRDefault="009F0B2F">
      <w:r>
        <w:t xml:space="preserve">Who are we assessing?  Students Gen Ed satisfying area E through Health &amp; Movement-Based classes. </w:t>
      </w:r>
    </w:p>
    <w:sectPr w:rsidR="009F0B2F" w:rsidSect="00A361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059B"/>
    <w:multiLevelType w:val="hybridMultilevel"/>
    <w:tmpl w:val="94DC3536"/>
    <w:lvl w:ilvl="0" w:tplc="BF7A5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47D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24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23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42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C1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E2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69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55311C"/>
    <w:multiLevelType w:val="hybridMultilevel"/>
    <w:tmpl w:val="24DC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612A"/>
    <w:rsid w:val="000C18DD"/>
    <w:rsid w:val="000D2396"/>
    <w:rsid w:val="001C783D"/>
    <w:rsid w:val="00275517"/>
    <w:rsid w:val="003962ED"/>
    <w:rsid w:val="00543EA3"/>
    <w:rsid w:val="00697879"/>
    <w:rsid w:val="006B3242"/>
    <w:rsid w:val="00703993"/>
    <w:rsid w:val="00951A23"/>
    <w:rsid w:val="00994D49"/>
    <w:rsid w:val="009F0B2F"/>
    <w:rsid w:val="00A3612A"/>
    <w:rsid w:val="00A5650B"/>
    <w:rsid w:val="00B15C1D"/>
    <w:rsid w:val="00B4330A"/>
    <w:rsid w:val="00C07D9C"/>
    <w:rsid w:val="00C30CFA"/>
    <w:rsid w:val="00EA7597"/>
    <w:rsid w:val="00EE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HNYXMCCMVK3K-1193-374</_dlc_DocId>
    <_dlc_DocIdUrl xmlns="431189f8-a51b-453f-9f0c-3a0b3b65b12f">
      <Url>http://www.sac.edu/Accreditation/_layouts/15/DocIdRedir.aspx?ID=HNYXMCCMVK3K-1193-374</Url>
      <Description>HNYXMCCMVK3K-1193-374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07253-138A-4F60-9D9A-3B334906067A}"/>
</file>

<file path=customXml/itemProps2.xml><?xml version="1.0" encoding="utf-8"?>
<ds:datastoreItem xmlns:ds="http://schemas.openxmlformats.org/officeDocument/2006/customXml" ds:itemID="{0DBA819B-76D9-4BA0-B061-1A15664E4FBC}"/>
</file>

<file path=customXml/itemProps3.xml><?xml version="1.0" encoding="utf-8"?>
<ds:datastoreItem xmlns:ds="http://schemas.openxmlformats.org/officeDocument/2006/customXml" ds:itemID="{4985A731-A6D1-4097-8F71-94EA7C01524F}"/>
</file>

<file path=customXml/itemProps4.xml><?xml version="1.0" encoding="utf-8"?>
<ds:datastoreItem xmlns:ds="http://schemas.openxmlformats.org/officeDocument/2006/customXml" ds:itemID="{1B8D8597-85A3-471B-B9F3-2D1817F10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2013-03-18T17:18:00Z</cp:lastPrinted>
  <dcterms:created xsi:type="dcterms:W3CDTF">2013-03-18T16:58:00Z</dcterms:created>
  <dcterms:modified xsi:type="dcterms:W3CDTF">2013-04-10T19:43:00Z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04757a62-c7ae-4b28-8a00-0bbc1548019f</vt:lpwstr>
  </property>
</Properties>
</file>